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CD" w:rsidRPr="00A44CCD" w:rsidRDefault="00A44CCD" w:rsidP="00A44CC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A44CCD">
        <w:rPr>
          <w:rFonts w:ascii="Times New Roman" w:eastAsia="Times New Roman" w:hAnsi="Times New Roman" w:cs="Times New Roman"/>
          <w:b/>
          <w:bCs/>
          <w:sz w:val="36"/>
          <w:szCs w:val="36"/>
          <w:lang w:eastAsia="it-IT"/>
        </w:rPr>
        <w:t xml:space="preserve">INPS - Prescrizione contributi dipendenti pubblici: chiarimenti </w:t>
      </w:r>
    </w:p>
    <w:p w:rsidR="00A44CCD" w:rsidRPr="00A44CCD" w:rsidRDefault="00A44CCD" w:rsidP="00A44CCD">
      <w:pPr>
        <w:spacing w:after="0" w:line="240" w:lineRule="auto"/>
        <w:jc w:val="both"/>
        <w:rPr>
          <w:rFonts w:ascii="Times New Roman" w:eastAsia="Times New Roman" w:hAnsi="Times New Roman" w:cs="Times New Roman"/>
          <w:sz w:val="24"/>
          <w:szCs w:val="24"/>
          <w:lang w:eastAsia="it-IT"/>
        </w:rPr>
      </w:pPr>
      <w:r>
        <w:rPr>
          <w:rFonts w:ascii="Verdana" w:eastAsia="Times New Roman" w:hAnsi="Verdana" w:cs="Times New Roman"/>
          <w:noProof/>
          <w:color w:val="333333"/>
          <w:sz w:val="20"/>
          <w:szCs w:val="20"/>
          <w:shd w:val="clear" w:color="auto" w:fill="FFFFFF"/>
          <w:lang w:eastAsia="it-IT"/>
        </w:rPr>
        <w:drawing>
          <wp:inline distT="0" distB="0" distL="0" distR="0">
            <wp:extent cx="1447165" cy="2172970"/>
            <wp:effectExtent l="0" t="0" r="635" b="0"/>
            <wp:docPr id="6" name="Immagine 6" descr="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p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165" cy="2172970"/>
                    </a:xfrm>
                    <a:prstGeom prst="rect">
                      <a:avLst/>
                    </a:prstGeom>
                    <a:noFill/>
                    <a:ln>
                      <a:noFill/>
                    </a:ln>
                  </pic:spPr>
                </pic:pic>
              </a:graphicData>
            </a:graphic>
          </wp:inline>
        </w:drawing>
      </w:r>
      <w:r w:rsidRPr="00A44CCD">
        <w:rPr>
          <w:rFonts w:ascii="Verdana" w:eastAsia="Times New Roman" w:hAnsi="Verdana" w:cs="Times New Roman"/>
          <w:color w:val="333333"/>
          <w:sz w:val="20"/>
          <w:szCs w:val="20"/>
          <w:shd w:val="clear" w:color="auto" w:fill="FFFFFF"/>
          <w:lang w:eastAsia="it-IT"/>
        </w:rPr>
        <w:t>L'INPS sulla questione della prescrizione dei contributi ha comunicato quanto di seguito:</w:t>
      </w:r>
    </w:p>
    <w:p w:rsidR="00A44CCD" w:rsidRPr="00A44CCD" w:rsidRDefault="00A44CCD" w:rsidP="00A44CCD">
      <w:pPr>
        <w:shd w:val="clear" w:color="auto" w:fill="FFFFFF"/>
        <w:spacing w:after="135" w:line="240" w:lineRule="auto"/>
        <w:jc w:val="both"/>
        <w:rPr>
          <w:rFonts w:ascii="Helvetica" w:eastAsia="Times New Roman" w:hAnsi="Helvetica" w:cs="Helvetica"/>
          <w:color w:val="333333"/>
          <w:sz w:val="20"/>
          <w:szCs w:val="20"/>
          <w:lang w:eastAsia="it-IT"/>
        </w:rPr>
      </w:pPr>
      <w:r w:rsidRPr="00A44CCD">
        <w:rPr>
          <w:rFonts w:ascii="Verdana" w:eastAsia="Times New Roman" w:hAnsi="Verdana" w:cs="Helvetica"/>
          <w:color w:val="333333"/>
          <w:sz w:val="20"/>
          <w:szCs w:val="20"/>
          <w:lang w:eastAsia="it-IT"/>
        </w:rPr>
        <w:t>In merito alla prescrizione dei contributi dei </w:t>
      </w:r>
      <w:hyperlink r:id="rId6" w:tooltip="Vai alla pagina" w:history="1">
        <w:r w:rsidRPr="00A44CCD">
          <w:rPr>
            <w:rFonts w:ascii="Verdana" w:eastAsia="Times New Roman" w:hAnsi="Verdana" w:cs="Helvetica"/>
            <w:color w:val="DE0027"/>
            <w:sz w:val="20"/>
            <w:szCs w:val="20"/>
            <w:u w:val="single"/>
            <w:lang w:eastAsia="it-IT"/>
          </w:rPr>
          <w:t>dipendenti iscritti alle gestioni pubbliche</w:t>
        </w:r>
      </w:hyperlink>
      <w:r w:rsidRPr="00A44CCD">
        <w:rPr>
          <w:rFonts w:ascii="Verdana" w:eastAsia="Times New Roman" w:hAnsi="Verdana" w:cs="Helvetica"/>
          <w:color w:val="333333"/>
          <w:sz w:val="20"/>
          <w:szCs w:val="20"/>
          <w:lang w:eastAsia="it-IT"/>
        </w:rPr>
        <w:t>, confluite nell’INPS, si chiarisce che la posizione assicurativa potrà essere sistemata anche dopo il 1° gennaio 2019. </w:t>
      </w:r>
    </w:p>
    <w:p w:rsidR="00A44CCD" w:rsidRPr="00A44CCD" w:rsidRDefault="00A44CCD" w:rsidP="00A44CCD">
      <w:pPr>
        <w:shd w:val="clear" w:color="auto" w:fill="FFFFFF"/>
        <w:spacing w:after="135" w:line="240" w:lineRule="auto"/>
        <w:jc w:val="both"/>
        <w:rPr>
          <w:rFonts w:ascii="Helvetica" w:eastAsia="Times New Roman" w:hAnsi="Helvetica" w:cs="Helvetica"/>
          <w:color w:val="333333"/>
          <w:sz w:val="20"/>
          <w:szCs w:val="20"/>
          <w:lang w:eastAsia="it-IT"/>
        </w:rPr>
      </w:pPr>
      <w:r w:rsidRPr="00A44CCD">
        <w:rPr>
          <w:rFonts w:ascii="Helvetica" w:eastAsia="Times New Roman" w:hAnsi="Helvetica" w:cs="Helvetica"/>
          <w:color w:val="333333"/>
          <w:sz w:val="20"/>
          <w:szCs w:val="20"/>
          <w:lang w:eastAsia="it-IT"/>
        </w:rPr>
        <w:br/>
      </w:r>
      <w:r w:rsidRPr="00A44CCD">
        <w:rPr>
          <w:rFonts w:ascii="Verdana" w:eastAsia="Times New Roman" w:hAnsi="Verdana" w:cs="Helvetica"/>
          <w:color w:val="333333"/>
          <w:sz w:val="20"/>
          <w:szCs w:val="20"/>
          <w:lang w:eastAsia="it-IT"/>
        </w:rPr>
        <w:t>Questa data ha rilievo per i rapporti fra INPS e </w:t>
      </w:r>
      <w:r w:rsidRPr="00A44CCD">
        <w:rPr>
          <w:rFonts w:ascii="Verdana" w:eastAsia="Times New Roman" w:hAnsi="Verdana" w:cs="Helvetica"/>
          <w:b/>
          <w:bCs/>
          <w:color w:val="333333"/>
          <w:sz w:val="20"/>
          <w:szCs w:val="20"/>
          <w:lang w:eastAsia="it-IT"/>
        </w:rPr>
        <w:t>datori di lavoro pubblici</w:t>
      </w:r>
      <w:r w:rsidRPr="00A44CCD">
        <w:rPr>
          <w:rFonts w:ascii="Verdana" w:eastAsia="Times New Roman" w:hAnsi="Verdana" w:cs="Helvetica"/>
          <w:color w:val="333333"/>
          <w:sz w:val="20"/>
          <w:szCs w:val="20"/>
          <w:lang w:eastAsia="it-IT"/>
        </w:rPr>
        <w:t>, perché mutano le conseguenze del mancato pagamento contributivo accertato dall’Istituto.</w:t>
      </w:r>
    </w:p>
    <w:p w:rsidR="00A44CCD" w:rsidRPr="00A44CCD" w:rsidRDefault="00A44CCD" w:rsidP="00A44CCD">
      <w:pPr>
        <w:shd w:val="clear" w:color="auto" w:fill="FFFFFF"/>
        <w:spacing w:after="135" w:line="240" w:lineRule="auto"/>
        <w:jc w:val="both"/>
        <w:rPr>
          <w:rFonts w:ascii="Helvetica" w:eastAsia="Times New Roman" w:hAnsi="Helvetica" w:cs="Helvetica"/>
          <w:color w:val="333333"/>
          <w:sz w:val="20"/>
          <w:szCs w:val="20"/>
          <w:lang w:eastAsia="it-IT"/>
        </w:rPr>
      </w:pPr>
      <w:r w:rsidRPr="00A44CCD">
        <w:rPr>
          <w:rFonts w:ascii="Verdana" w:eastAsia="Times New Roman" w:hAnsi="Verdana" w:cs="Helvetica"/>
          <w:color w:val="333333"/>
          <w:sz w:val="20"/>
          <w:szCs w:val="20"/>
          <w:lang w:eastAsia="it-IT"/>
        </w:rPr>
        <w:t>Il </w:t>
      </w:r>
      <w:r w:rsidRPr="00A44CCD">
        <w:rPr>
          <w:rFonts w:ascii="Verdana" w:eastAsia="Times New Roman" w:hAnsi="Verdana" w:cs="Helvetica"/>
          <w:b/>
          <w:bCs/>
          <w:color w:val="333333"/>
          <w:sz w:val="20"/>
          <w:szCs w:val="20"/>
          <w:lang w:eastAsia="it-IT"/>
        </w:rPr>
        <w:t>31 dicembre 2018</w:t>
      </w:r>
      <w:r w:rsidRPr="00A44CCD">
        <w:rPr>
          <w:rFonts w:ascii="Verdana" w:eastAsia="Times New Roman" w:hAnsi="Verdana" w:cs="Helvetica"/>
          <w:color w:val="333333"/>
          <w:sz w:val="20"/>
          <w:szCs w:val="20"/>
          <w:lang w:eastAsia="it-IT"/>
        </w:rPr>
        <w:t> non deve essere considerato come la data ultima entro cui l’iscritto/dipendente pubblico può chiedere la variazione della propria posizione assicurativa, ma come il termine che consente al datore di lavoro pubblico di continuare ad applicare la precedente prassi consolidata nella </w:t>
      </w:r>
      <w:r w:rsidRPr="00A44CCD">
        <w:rPr>
          <w:rFonts w:ascii="Verdana" w:eastAsia="Times New Roman" w:hAnsi="Verdana" w:cs="Helvetica"/>
          <w:b/>
          <w:bCs/>
          <w:color w:val="333333"/>
          <w:sz w:val="20"/>
          <w:szCs w:val="20"/>
          <w:lang w:eastAsia="it-IT"/>
        </w:rPr>
        <w:t>Gestione dell’ex INPDAP</w:t>
      </w:r>
      <w:r w:rsidRPr="00A44CCD">
        <w:rPr>
          <w:rFonts w:ascii="Verdana" w:eastAsia="Times New Roman" w:hAnsi="Verdana" w:cs="Helvetica"/>
          <w:color w:val="333333"/>
          <w:sz w:val="20"/>
          <w:szCs w:val="20"/>
          <w:lang w:eastAsia="it-IT"/>
        </w:rPr>
        <w:t> che individuava la data di accertamento del diritto alla contribuzione di previdenza e assistenza come giorno dal quale inizia a decorrere il termine di prescrizione. Sotto questo aspetto, la </w:t>
      </w:r>
      <w:hyperlink r:id="rId7" w:history="1">
        <w:r w:rsidRPr="00A44CCD">
          <w:rPr>
            <w:rFonts w:ascii="Verdana" w:eastAsia="Times New Roman" w:hAnsi="Verdana" w:cs="Helvetica"/>
            <w:color w:val="DE0027"/>
            <w:sz w:val="20"/>
            <w:szCs w:val="20"/>
            <w:u w:val="single"/>
            <w:lang w:eastAsia="it-IT"/>
          </w:rPr>
          <w:t>circolare INPS 15 novembre 2017, n. 169</w:t>
        </w:r>
      </w:hyperlink>
      <w:r w:rsidRPr="00A44CCD">
        <w:rPr>
          <w:rFonts w:ascii="Verdana" w:eastAsia="Times New Roman" w:hAnsi="Verdana" w:cs="Helvetica"/>
          <w:color w:val="333333"/>
          <w:sz w:val="20"/>
          <w:szCs w:val="20"/>
          <w:lang w:eastAsia="it-IT"/>
        </w:rPr>
        <w:t> non ha fatto altro che dettare disposizioni di armonizzazione in materia di prescrizione fra tutte le gestioni dell’Istituto, facendo decorrere la prescrizione contributiva dalla data di scadenza del termine per effettuare il versamento; al tempo stesso, è previsto un periodo transitorio, fino al 31 dicembre 2018, durante il quale i datori di lavoro possono continuare ad avvalersi delle modalità in uso nell’INPDAP per la regolarizzazione contributiva.</w:t>
      </w:r>
    </w:p>
    <w:p w:rsidR="00A44CCD" w:rsidRPr="00A44CCD" w:rsidRDefault="00A44CCD" w:rsidP="00A44CCD">
      <w:pPr>
        <w:shd w:val="clear" w:color="auto" w:fill="FFFFFF"/>
        <w:spacing w:after="135" w:line="240" w:lineRule="auto"/>
        <w:jc w:val="both"/>
        <w:rPr>
          <w:rFonts w:ascii="Helvetica" w:eastAsia="Times New Roman" w:hAnsi="Helvetica" w:cs="Helvetica"/>
          <w:color w:val="333333"/>
          <w:sz w:val="20"/>
          <w:szCs w:val="20"/>
          <w:lang w:eastAsia="it-IT"/>
        </w:rPr>
      </w:pPr>
      <w:r w:rsidRPr="00A44CCD">
        <w:rPr>
          <w:rFonts w:ascii="Verdana" w:eastAsia="Times New Roman" w:hAnsi="Verdana" w:cs="Helvetica"/>
          <w:color w:val="333333"/>
          <w:sz w:val="20"/>
          <w:szCs w:val="20"/>
          <w:lang w:eastAsia="it-IT"/>
        </w:rPr>
        <w:t>A maggior chiarimento, va evidenziato che i flussi di denuncia che perverranno all’INPS </w:t>
      </w:r>
      <w:r w:rsidRPr="00A44CCD">
        <w:rPr>
          <w:rFonts w:ascii="Verdana" w:eastAsia="Times New Roman" w:hAnsi="Verdana" w:cs="Helvetica"/>
          <w:b/>
          <w:bCs/>
          <w:color w:val="333333"/>
          <w:sz w:val="20"/>
          <w:szCs w:val="20"/>
          <w:lang w:eastAsia="it-IT"/>
        </w:rPr>
        <w:t>dal 1° gennaio 2019</w:t>
      </w:r>
      <w:r w:rsidRPr="00A44CCD">
        <w:rPr>
          <w:rFonts w:ascii="Verdana" w:eastAsia="Times New Roman" w:hAnsi="Verdana" w:cs="Helvetica"/>
          <w:color w:val="333333"/>
          <w:sz w:val="20"/>
          <w:szCs w:val="20"/>
          <w:lang w:eastAsia="it-IT"/>
        </w:rPr>
        <w:t>saranno gestiti secondo le nuove indicazioni; i datori di lavoro pubblici potranno quindi continuare ad aggiornare le posizioni assicurative dei dipendenti, ma per i flussi trasmessi dal 1° gennaio 2019 dovranno </w:t>
      </w:r>
      <w:r w:rsidRPr="00A44CCD">
        <w:rPr>
          <w:rFonts w:ascii="Verdana" w:eastAsia="Times New Roman" w:hAnsi="Verdana" w:cs="Helvetica"/>
          <w:b/>
          <w:bCs/>
          <w:color w:val="333333"/>
          <w:sz w:val="20"/>
          <w:szCs w:val="20"/>
          <w:lang w:eastAsia="it-IT"/>
        </w:rPr>
        <w:t>sostenere un onere</w:t>
      </w:r>
      <w:r w:rsidRPr="00A44CCD">
        <w:rPr>
          <w:rFonts w:ascii="Verdana" w:eastAsia="Times New Roman" w:hAnsi="Verdana" w:cs="Helvetica"/>
          <w:color w:val="333333"/>
          <w:sz w:val="20"/>
          <w:szCs w:val="20"/>
          <w:lang w:eastAsia="it-IT"/>
        </w:rPr>
        <w:t> calcolato secondo le indicazioni della circolare INPS 169/2017 (ossia sarà obbligato a sostenere l’onere del trattamento di quiescenza riferito a periodi di servizio per cui è intervenuta la prescrizione, utilizzando come base di calcolo il criterio della rendita vitalizia).</w:t>
      </w:r>
    </w:p>
    <w:p w:rsidR="00A44CCD" w:rsidRPr="00A44CCD" w:rsidRDefault="00A44CCD" w:rsidP="00A44CCD">
      <w:pPr>
        <w:shd w:val="clear" w:color="auto" w:fill="FFFFFF"/>
        <w:spacing w:after="135" w:line="240" w:lineRule="auto"/>
        <w:jc w:val="both"/>
        <w:rPr>
          <w:rFonts w:ascii="Helvetica" w:eastAsia="Times New Roman" w:hAnsi="Helvetica" w:cs="Helvetica"/>
          <w:color w:val="333333"/>
          <w:sz w:val="20"/>
          <w:szCs w:val="20"/>
          <w:lang w:eastAsia="it-IT"/>
        </w:rPr>
      </w:pPr>
      <w:r w:rsidRPr="00A44CCD">
        <w:rPr>
          <w:rFonts w:ascii="Verdana" w:eastAsia="Times New Roman" w:hAnsi="Verdana" w:cs="Helvetica"/>
          <w:color w:val="333333"/>
          <w:sz w:val="20"/>
          <w:szCs w:val="20"/>
          <w:lang w:eastAsia="it-IT"/>
        </w:rPr>
        <w:t xml:space="preserve">Pertanto, il termine del 31 dicembre 2018 non è un termine </w:t>
      </w:r>
      <w:proofErr w:type="spellStart"/>
      <w:r w:rsidRPr="00A44CCD">
        <w:rPr>
          <w:rFonts w:ascii="Verdana" w:eastAsia="Times New Roman" w:hAnsi="Verdana" w:cs="Helvetica"/>
          <w:color w:val="333333"/>
          <w:sz w:val="20"/>
          <w:szCs w:val="20"/>
          <w:lang w:eastAsia="it-IT"/>
        </w:rPr>
        <w:t>decadenziale</w:t>
      </w:r>
      <w:proofErr w:type="spellEnd"/>
      <w:r w:rsidRPr="00A44CCD">
        <w:rPr>
          <w:rFonts w:ascii="Verdana" w:eastAsia="Times New Roman" w:hAnsi="Verdana" w:cs="Helvetica"/>
          <w:color w:val="333333"/>
          <w:sz w:val="20"/>
          <w:szCs w:val="20"/>
          <w:lang w:eastAsia="it-IT"/>
        </w:rPr>
        <w:t xml:space="preserve"> per i lavoratori. I lavoratori pubblici possono, anche successivamente al 31 dicembre 2018, presentare richiesta di variazione della posizione assicurativa. Ciò che cambia sono gli effetti che scaturiscono a carico dei datori di lavoro pubblici, mentre il periodo di lavoro alimenta il conto assicurativo e viene reso disponibile alle prestazioni.</w:t>
      </w:r>
    </w:p>
    <w:p w:rsidR="00A44CCD" w:rsidRPr="00A44CCD" w:rsidRDefault="00A44CCD" w:rsidP="00A44CCD">
      <w:pPr>
        <w:shd w:val="clear" w:color="auto" w:fill="FFFFFF"/>
        <w:spacing w:after="135" w:line="240" w:lineRule="auto"/>
        <w:jc w:val="both"/>
        <w:rPr>
          <w:rFonts w:ascii="Helvetica" w:eastAsia="Times New Roman" w:hAnsi="Helvetica" w:cs="Helvetica"/>
          <w:color w:val="333333"/>
          <w:sz w:val="20"/>
          <w:szCs w:val="20"/>
          <w:lang w:eastAsia="it-IT"/>
        </w:rPr>
      </w:pPr>
      <w:r w:rsidRPr="00A44CCD">
        <w:rPr>
          <w:rFonts w:ascii="Verdana" w:eastAsia="Times New Roman" w:hAnsi="Verdana" w:cs="Helvetica"/>
          <w:color w:val="333333"/>
          <w:sz w:val="20"/>
          <w:szCs w:val="20"/>
          <w:lang w:eastAsia="it-IT"/>
        </w:rPr>
        <w:t>I dipendenti che vogliano verificare la propria posizione assicurativa possono accedere, tramite PIN, all’estratto conto e verificarne la correttezza. In caso riscontrassero lacune o incongruenze, possono chiedere la variazione </w:t>
      </w:r>
      <w:r w:rsidRPr="00A44CCD">
        <w:rPr>
          <w:rFonts w:ascii="Verdana" w:eastAsia="Times New Roman" w:hAnsi="Verdana" w:cs="Helvetica"/>
          <w:b/>
          <w:bCs/>
          <w:color w:val="333333"/>
          <w:sz w:val="20"/>
          <w:szCs w:val="20"/>
          <w:lang w:eastAsia="it-IT"/>
        </w:rPr>
        <w:t>RVPA</w:t>
      </w:r>
      <w:r w:rsidRPr="00A44CCD">
        <w:rPr>
          <w:rFonts w:ascii="Verdana" w:eastAsia="Times New Roman" w:hAnsi="Verdana" w:cs="Helvetica"/>
          <w:color w:val="333333"/>
          <w:sz w:val="20"/>
          <w:szCs w:val="20"/>
          <w:lang w:eastAsia="it-IT"/>
        </w:rPr>
        <w:t>, istanza per la quale non è previsto alcun termine perentorio.</w:t>
      </w:r>
    </w:p>
    <w:p w:rsidR="00A44CCD" w:rsidRPr="00A44CCD" w:rsidRDefault="00A44CCD" w:rsidP="00A44CCD">
      <w:pPr>
        <w:shd w:val="clear" w:color="auto" w:fill="FFFFFF"/>
        <w:spacing w:after="135" w:line="240" w:lineRule="auto"/>
        <w:jc w:val="both"/>
        <w:rPr>
          <w:rFonts w:ascii="Helvetica" w:eastAsia="Times New Roman" w:hAnsi="Helvetica" w:cs="Helvetica"/>
          <w:color w:val="333333"/>
          <w:sz w:val="20"/>
          <w:szCs w:val="20"/>
          <w:lang w:eastAsia="it-IT"/>
        </w:rPr>
      </w:pPr>
      <w:r w:rsidRPr="00A44CCD">
        <w:rPr>
          <w:rFonts w:ascii="Verdana" w:eastAsia="Times New Roman" w:hAnsi="Verdana" w:cs="Helvetica"/>
          <w:color w:val="333333"/>
          <w:sz w:val="20"/>
          <w:szCs w:val="20"/>
          <w:lang w:eastAsia="it-IT"/>
        </w:rPr>
        <w:t>L’unica eccezione è costituita dagli iscritti alla </w:t>
      </w:r>
      <w:r w:rsidRPr="00A44CCD">
        <w:rPr>
          <w:rFonts w:ascii="Verdana" w:eastAsia="Times New Roman" w:hAnsi="Verdana" w:cs="Helvetica"/>
          <w:b/>
          <w:bCs/>
          <w:color w:val="333333"/>
          <w:sz w:val="20"/>
          <w:szCs w:val="20"/>
          <w:lang w:eastAsia="it-IT"/>
        </w:rPr>
        <w:t>Cassa Pensioni Insegnanti</w:t>
      </w:r>
      <w:r w:rsidRPr="00A44CCD">
        <w:rPr>
          <w:rFonts w:ascii="Verdana" w:eastAsia="Times New Roman" w:hAnsi="Verdana" w:cs="Helvetica"/>
          <w:color w:val="333333"/>
          <w:sz w:val="20"/>
          <w:szCs w:val="20"/>
          <w:lang w:eastAsia="it-IT"/>
        </w:rPr>
        <w:t xml:space="preserve"> ( CPI), ossia gli insegnanti delle scuole primarie paritarie (pubbliche e private), gli insegnanti degli asili eretti in </w:t>
      </w:r>
      <w:r w:rsidRPr="00A44CCD">
        <w:rPr>
          <w:rFonts w:ascii="Verdana" w:eastAsia="Times New Roman" w:hAnsi="Verdana" w:cs="Helvetica"/>
          <w:color w:val="333333"/>
          <w:sz w:val="20"/>
          <w:szCs w:val="20"/>
          <w:lang w:eastAsia="it-IT"/>
        </w:rPr>
        <w:lastRenderedPageBreak/>
        <w:t>enti morali e delle scuole dell'infanzia comunali (non rientrano in questa categoria, invece, i docenti MIUR). Per questi lavoratori, nell’ipotesi di prescrizione dei contributi, il datore di lavoro può sostenere l’onere della rendita vitalizia; nel caso in cui non vi provveda, il lavoratore dovrà pagare tale onere per vedersi valorizzato il periodo sulla posizione assicurativa.</w:t>
      </w:r>
      <w:bookmarkStart w:id="0" w:name="_GoBack"/>
      <w:bookmarkEnd w:id="0"/>
    </w:p>
    <w:sectPr w:rsidR="00A44CCD" w:rsidRPr="00A44CCD" w:rsidSect="004866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84"/>
    <w:multiLevelType w:val="multilevel"/>
    <w:tmpl w:val="868C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64147"/>
    <w:multiLevelType w:val="multilevel"/>
    <w:tmpl w:val="067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62F41"/>
    <w:multiLevelType w:val="multilevel"/>
    <w:tmpl w:val="1BFC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F3642"/>
    <w:multiLevelType w:val="multilevel"/>
    <w:tmpl w:val="7EB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41221"/>
    <w:multiLevelType w:val="multilevel"/>
    <w:tmpl w:val="7F72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13521"/>
    <w:multiLevelType w:val="multilevel"/>
    <w:tmpl w:val="D86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327EF"/>
    <w:multiLevelType w:val="multilevel"/>
    <w:tmpl w:val="49E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600B3"/>
    <w:multiLevelType w:val="multilevel"/>
    <w:tmpl w:val="EC5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B70D58"/>
    <w:multiLevelType w:val="multilevel"/>
    <w:tmpl w:val="46D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06726"/>
    <w:multiLevelType w:val="multilevel"/>
    <w:tmpl w:val="F0EC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defaultTabStop w:val="708"/>
  <w:hyphenationZone w:val="283"/>
  <w:characterSpacingControl w:val="doNotCompress"/>
  <w:compat/>
  <w:rsids>
    <w:rsidRoot w:val="00A44CCD"/>
    <w:rsid w:val="0048664F"/>
    <w:rsid w:val="00552FF4"/>
    <w:rsid w:val="009C5901"/>
    <w:rsid w:val="00A44C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64F"/>
  </w:style>
  <w:style w:type="paragraph" w:styleId="Titolo2">
    <w:name w:val="heading 2"/>
    <w:basedOn w:val="Normale"/>
    <w:link w:val="Titolo2Carattere"/>
    <w:uiPriority w:val="9"/>
    <w:qFormat/>
    <w:rsid w:val="00A44C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44C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44C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44CC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44CCD"/>
    <w:rPr>
      <w:color w:val="0000FF"/>
      <w:u w:val="single"/>
    </w:rPr>
  </w:style>
  <w:style w:type="paragraph" w:styleId="NormaleWeb">
    <w:name w:val="Normal (Web)"/>
    <w:basedOn w:val="Normale"/>
    <w:uiPriority w:val="99"/>
    <w:semiHidden/>
    <w:unhideWhenUsed/>
    <w:rsid w:val="00A44C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4CCD"/>
    <w:rPr>
      <w:b/>
      <w:bCs/>
    </w:rPr>
  </w:style>
  <w:style w:type="character" w:customStyle="1" w:styleId="glossaryterm">
    <w:name w:val="glossary__term"/>
    <w:basedOn w:val="Carpredefinitoparagrafo"/>
    <w:rsid w:val="00A44CCD"/>
  </w:style>
  <w:style w:type="paragraph" w:styleId="Testofumetto">
    <w:name w:val="Balloon Text"/>
    <w:basedOn w:val="Normale"/>
    <w:link w:val="TestofumettoCarattere"/>
    <w:uiPriority w:val="99"/>
    <w:semiHidden/>
    <w:unhideWhenUsed/>
    <w:rsid w:val="00A44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44C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44C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44C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44CC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44CCD"/>
    <w:rPr>
      <w:color w:val="0000FF"/>
      <w:u w:val="single"/>
    </w:rPr>
  </w:style>
  <w:style w:type="paragraph" w:styleId="NormaleWeb">
    <w:name w:val="Normal (Web)"/>
    <w:basedOn w:val="Normale"/>
    <w:uiPriority w:val="99"/>
    <w:semiHidden/>
    <w:unhideWhenUsed/>
    <w:rsid w:val="00A44C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4CCD"/>
    <w:rPr>
      <w:b/>
      <w:bCs/>
    </w:rPr>
  </w:style>
  <w:style w:type="character" w:customStyle="1" w:styleId="glossaryterm">
    <w:name w:val="glossary__term"/>
    <w:basedOn w:val="Carpredefinitoparagrafo"/>
    <w:rsid w:val="00A44CCD"/>
  </w:style>
  <w:style w:type="paragraph" w:styleId="Testofumetto">
    <w:name w:val="Balloon Text"/>
    <w:basedOn w:val="Normale"/>
    <w:link w:val="TestofumettoCarattere"/>
    <w:uiPriority w:val="99"/>
    <w:semiHidden/>
    <w:unhideWhenUsed/>
    <w:rsid w:val="00A44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711162">
      <w:bodyDiv w:val="1"/>
      <w:marLeft w:val="0"/>
      <w:marRight w:val="0"/>
      <w:marTop w:val="0"/>
      <w:marBottom w:val="0"/>
      <w:divBdr>
        <w:top w:val="none" w:sz="0" w:space="0" w:color="auto"/>
        <w:left w:val="none" w:sz="0" w:space="0" w:color="auto"/>
        <w:bottom w:val="none" w:sz="0" w:space="0" w:color="auto"/>
        <w:right w:val="none" w:sz="0" w:space="0" w:color="auto"/>
      </w:divBdr>
      <w:divsChild>
        <w:div w:id="82534855">
          <w:marLeft w:val="0"/>
          <w:marRight w:val="0"/>
          <w:marTop w:val="0"/>
          <w:marBottom w:val="0"/>
          <w:divBdr>
            <w:top w:val="none" w:sz="0" w:space="0" w:color="auto"/>
            <w:left w:val="none" w:sz="0" w:space="0" w:color="auto"/>
            <w:bottom w:val="none" w:sz="0" w:space="0" w:color="auto"/>
            <w:right w:val="none" w:sz="0" w:space="0" w:color="auto"/>
          </w:divBdr>
          <w:divsChild>
            <w:div w:id="1729955321">
              <w:marLeft w:val="0"/>
              <w:marRight w:val="0"/>
              <w:marTop w:val="0"/>
              <w:marBottom w:val="0"/>
              <w:divBdr>
                <w:top w:val="none" w:sz="0" w:space="0" w:color="auto"/>
                <w:left w:val="none" w:sz="0" w:space="0" w:color="auto"/>
                <w:bottom w:val="none" w:sz="0" w:space="0" w:color="auto"/>
                <w:right w:val="none" w:sz="0" w:space="0" w:color="auto"/>
              </w:divBdr>
            </w:div>
            <w:div w:id="1989280130">
              <w:marLeft w:val="0"/>
              <w:marRight w:val="0"/>
              <w:marTop w:val="0"/>
              <w:marBottom w:val="0"/>
              <w:divBdr>
                <w:top w:val="none" w:sz="0" w:space="0" w:color="auto"/>
                <w:left w:val="none" w:sz="0" w:space="0" w:color="auto"/>
                <w:bottom w:val="none" w:sz="0" w:space="0" w:color="auto"/>
                <w:right w:val="none" w:sz="0" w:space="0" w:color="auto"/>
              </w:divBdr>
              <w:divsChild>
                <w:div w:id="747461962">
                  <w:marLeft w:val="0"/>
                  <w:marRight w:val="0"/>
                  <w:marTop w:val="0"/>
                  <w:marBottom w:val="0"/>
                  <w:divBdr>
                    <w:top w:val="none" w:sz="0" w:space="0" w:color="auto"/>
                    <w:left w:val="none" w:sz="0" w:space="0" w:color="auto"/>
                    <w:bottom w:val="none" w:sz="0" w:space="0" w:color="auto"/>
                    <w:right w:val="none" w:sz="0" w:space="0" w:color="auto"/>
                  </w:divBdr>
                  <w:divsChild>
                    <w:div w:id="473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4323">
          <w:marLeft w:val="0"/>
          <w:marRight w:val="0"/>
          <w:marTop w:val="0"/>
          <w:marBottom w:val="0"/>
          <w:divBdr>
            <w:top w:val="none" w:sz="0" w:space="0" w:color="auto"/>
            <w:left w:val="none" w:sz="0" w:space="0" w:color="auto"/>
            <w:bottom w:val="none" w:sz="0" w:space="0" w:color="auto"/>
            <w:right w:val="none" w:sz="0" w:space="0" w:color="auto"/>
          </w:divBdr>
          <w:divsChild>
            <w:div w:id="901479535">
              <w:marLeft w:val="0"/>
              <w:marRight w:val="0"/>
              <w:marTop w:val="0"/>
              <w:marBottom w:val="0"/>
              <w:divBdr>
                <w:top w:val="none" w:sz="0" w:space="0" w:color="auto"/>
                <w:left w:val="none" w:sz="0" w:space="0" w:color="auto"/>
                <w:bottom w:val="none" w:sz="0" w:space="0" w:color="auto"/>
                <w:right w:val="none" w:sz="0" w:space="0" w:color="auto"/>
              </w:divBdr>
            </w:div>
            <w:div w:id="795758672">
              <w:marLeft w:val="0"/>
              <w:marRight w:val="0"/>
              <w:marTop w:val="0"/>
              <w:marBottom w:val="0"/>
              <w:divBdr>
                <w:top w:val="none" w:sz="0" w:space="0" w:color="auto"/>
                <w:left w:val="none" w:sz="0" w:space="0" w:color="auto"/>
                <w:bottom w:val="none" w:sz="0" w:space="0" w:color="auto"/>
                <w:right w:val="none" w:sz="0" w:space="0" w:color="auto"/>
              </w:divBdr>
            </w:div>
            <w:div w:id="555817747">
              <w:marLeft w:val="0"/>
              <w:marRight w:val="0"/>
              <w:marTop w:val="0"/>
              <w:marBottom w:val="0"/>
              <w:divBdr>
                <w:top w:val="none" w:sz="0" w:space="0" w:color="auto"/>
                <w:left w:val="none" w:sz="0" w:space="0" w:color="auto"/>
                <w:bottom w:val="none" w:sz="0" w:space="0" w:color="auto"/>
                <w:right w:val="none" w:sz="0" w:space="0" w:color="auto"/>
              </w:divBdr>
            </w:div>
            <w:div w:id="329646688">
              <w:marLeft w:val="0"/>
              <w:marRight w:val="0"/>
              <w:marTop w:val="0"/>
              <w:marBottom w:val="0"/>
              <w:divBdr>
                <w:top w:val="none" w:sz="0" w:space="0" w:color="auto"/>
                <w:left w:val="none" w:sz="0" w:space="0" w:color="auto"/>
                <w:bottom w:val="none" w:sz="0" w:space="0" w:color="auto"/>
                <w:right w:val="none" w:sz="0" w:space="0" w:color="auto"/>
              </w:divBdr>
            </w:div>
            <w:div w:id="1378700304">
              <w:marLeft w:val="0"/>
              <w:marRight w:val="0"/>
              <w:marTop w:val="0"/>
              <w:marBottom w:val="0"/>
              <w:divBdr>
                <w:top w:val="none" w:sz="0" w:space="0" w:color="auto"/>
                <w:left w:val="none" w:sz="0" w:space="0" w:color="auto"/>
                <w:bottom w:val="none" w:sz="0" w:space="0" w:color="auto"/>
                <w:right w:val="none" w:sz="0" w:space="0" w:color="auto"/>
              </w:divBdr>
            </w:div>
            <w:div w:id="3825174">
              <w:marLeft w:val="0"/>
              <w:marRight w:val="0"/>
              <w:marTop w:val="0"/>
              <w:marBottom w:val="0"/>
              <w:divBdr>
                <w:top w:val="none" w:sz="0" w:space="0" w:color="auto"/>
                <w:left w:val="none" w:sz="0" w:space="0" w:color="auto"/>
                <w:bottom w:val="none" w:sz="0" w:space="0" w:color="auto"/>
                <w:right w:val="none" w:sz="0" w:space="0" w:color="auto"/>
              </w:divBdr>
            </w:div>
            <w:div w:id="1295326887">
              <w:marLeft w:val="0"/>
              <w:marRight w:val="0"/>
              <w:marTop w:val="0"/>
              <w:marBottom w:val="0"/>
              <w:divBdr>
                <w:top w:val="none" w:sz="0" w:space="0" w:color="auto"/>
                <w:left w:val="none" w:sz="0" w:space="0" w:color="auto"/>
                <w:bottom w:val="none" w:sz="0" w:space="0" w:color="auto"/>
                <w:right w:val="none" w:sz="0" w:space="0" w:color="auto"/>
              </w:divBdr>
            </w:div>
            <w:div w:id="12674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ps.it/nuovoportaleinps/default.aspx?sPathID=%3b0%3b51527%3b&amp;lastMenu=51527&amp;iMenu=1&amp;sURL=https%3a%2f%2fwww.inps.it%2fbussola%2fVisualizzaDoc.aspx%3fsVirtualURL%3d%252fCircolari%252fCircolare%2520numero%2520169%2520del%252015-11-2017.htm&amp;RedirectForzato=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ps.it/nuovoportaleinps/default.aspx?sPathID=%3b0%3b51527%3b&amp;lastMenu=51527&amp;iMenu=1&amp;itemDir=49926"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M.accillo</dc:creator>
  <cp:lastModifiedBy>User</cp:lastModifiedBy>
  <cp:revision>2</cp:revision>
  <dcterms:created xsi:type="dcterms:W3CDTF">2018-10-24T16:01:00Z</dcterms:created>
  <dcterms:modified xsi:type="dcterms:W3CDTF">2018-10-24T16:01:00Z</dcterms:modified>
</cp:coreProperties>
</file>